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E5E" w:rsidRPr="008F2DD0" w:rsidRDefault="00866A27">
      <w:pPr>
        <w:rPr>
          <w:b/>
          <w:sz w:val="24"/>
          <w:szCs w:val="24"/>
        </w:rPr>
      </w:pPr>
      <w:bookmarkStart w:id="0" w:name="_GoBack"/>
      <w:bookmarkEnd w:id="0"/>
      <w:r w:rsidRPr="008F2DD0">
        <w:rPr>
          <w:b/>
          <w:sz w:val="24"/>
          <w:szCs w:val="24"/>
        </w:rPr>
        <w:t>Patient 1</w:t>
      </w:r>
    </w:p>
    <w:p w:rsidR="00866A27" w:rsidRDefault="00866A27">
      <w:pPr>
        <w:rPr>
          <w:b/>
          <w:sz w:val="24"/>
          <w:szCs w:val="24"/>
        </w:rPr>
      </w:pPr>
      <w:r w:rsidRPr="008F2DD0">
        <w:rPr>
          <w:b/>
          <w:sz w:val="24"/>
          <w:szCs w:val="24"/>
        </w:rPr>
        <w:t>Historique</w:t>
      </w:r>
    </w:p>
    <w:p w:rsidR="008F2DD0" w:rsidRPr="008F2DD0" w:rsidRDefault="008F2DD0" w:rsidP="002557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Enfant âgé de 11 ans, présente une incapacité à la marche immédiatement après une chute sur les fesses en glissant sur un toboggan assez raide. Pas de récupération après 10 jours d’évolution. </w:t>
      </w:r>
      <w:r w:rsidR="00187397">
        <w:rPr>
          <w:sz w:val="24"/>
          <w:szCs w:val="24"/>
        </w:rPr>
        <w:t xml:space="preserve">Tous les examens sont normaux. Diagnostic de trouble fonctionnel neurologique. </w:t>
      </w:r>
      <w:r>
        <w:rPr>
          <w:sz w:val="24"/>
          <w:szCs w:val="24"/>
        </w:rPr>
        <w:t>Pas d’autres antécédents</w:t>
      </w:r>
    </w:p>
    <w:p w:rsidR="00866A27" w:rsidRDefault="00866A27" w:rsidP="002557E6">
      <w:pPr>
        <w:jc w:val="both"/>
        <w:rPr>
          <w:b/>
          <w:sz w:val="24"/>
          <w:szCs w:val="24"/>
        </w:rPr>
      </w:pPr>
      <w:r w:rsidRPr="008F2DD0">
        <w:rPr>
          <w:b/>
          <w:sz w:val="24"/>
          <w:szCs w:val="24"/>
        </w:rPr>
        <w:t>Description clinique</w:t>
      </w:r>
    </w:p>
    <w:p w:rsidR="008F2DD0" w:rsidRPr="008F2DD0" w:rsidRDefault="008F2DD0" w:rsidP="002557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Déficit de la force musculaire des 2 membres inférieurs. </w:t>
      </w:r>
      <w:r w:rsidR="00187397">
        <w:rPr>
          <w:sz w:val="24"/>
          <w:szCs w:val="24"/>
        </w:rPr>
        <w:t xml:space="preserve">Il a </w:t>
      </w:r>
      <w:r>
        <w:rPr>
          <w:sz w:val="24"/>
          <w:szCs w:val="24"/>
        </w:rPr>
        <w:t>l’impression de ne pas bien les sentir. Ne peut mettre un pied devant l’autre, même soutenu (video1)</w:t>
      </w:r>
    </w:p>
    <w:p w:rsidR="00866A27" w:rsidRPr="008F2DD0" w:rsidRDefault="00866A27" w:rsidP="002557E6">
      <w:pPr>
        <w:jc w:val="both"/>
        <w:rPr>
          <w:sz w:val="24"/>
          <w:szCs w:val="24"/>
        </w:rPr>
      </w:pPr>
      <w:r w:rsidRPr="008F2DD0">
        <w:rPr>
          <w:b/>
          <w:sz w:val="24"/>
          <w:szCs w:val="24"/>
        </w:rPr>
        <w:t>Stimulation magnétique</w:t>
      </w:r>
      <w:r w:rsidR="009834F5" w:rsidRPr="008F2DD0">
        <w:rPr>
          <w:b/>
          <w:sz w:val="24"/>
          <w:szCs w:val="24"/>
        </w:rPr>
        <w:t xml:space="preserve"> et é</w:t>
      </w:r>
      <w:r w:rsidRPr="008F2DD0">
        <w:rPr>
          <w:b/>
          <w:sz w:val="24"/>
          <w:szCs w:val="24"/>
        </w:rPr>
        <w:t>volution</w:t>
      </w:r>
    </w:p>
    <w:p w:rsidR="008F2DD0" w:rsidRPr="008F2DD0" w:rsidRDefault="008F2DD0" w:rsidP="002557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observation date de 1998. La stimulation magnétique </w:t>
      </w:r>
      <w:proofErr w:type="spellStart"/>
      <w:r>
        <w:rPr>
          <w:sz w:val="24"/>
          <w:szCs w:val="24"/>
        </w:rPr>
        <w:t>transcrânienne</w:t>
      </w:r>
      <w:proofErr w:type="spellEnd"/>
      <w:r>
        <w:rPr>
          <w:sz w:val="24"/>
          <w:szCs w:val="24"/>
        </w:rPr>
        <w:t xml:space="preserve"> </w:t>
      </w:r>
      <w:r w:rsidR="002557E6">
        <w:rPr>
          <w:sz w:val="24"/>
          <w:szCs w:val="24"/>
        </w:rPr>
        <w:t>large champ a été appliquée (60 chocs à 1 HZ) uniquement. L’amélior</w:t>
      </w:r>
      <w:r w:rsidR="00CB2F14">
        <w:rPr>
          <w:sz w:val="24"/>
          <w:szCs w:val="24"/>
        </w:rPr>
        <w:t xml:space="preserve">ation a été immédiate. Il a pu remarcher et </w:t>
      </w:r>
      <w:r w:rsidR="002557E6">
        <w:rPr>
          <w:sz w:val="24"/>
          <w:szCs w:val="24"/>
        </w:rPr>
        <w:t>courir et il ressentait à nouveau ses jambes normalement (video2).</w:t>
      </w:r>
    </w:p>
    <w:p w:rsidR="00866A27" w:rsidRDefault="008F2DD0" w:rsidP="002557E6">
      <w:pPr>
        <w:jc w:val="both"/>
        <w:rPr>
          <w:b/>
          <w:sz w:val="24"/>
          <w:szCs w:val="24"/>
        </w:rPr>
      </w:pPr>
      <w:r w:rsidRPr="008F2DD0">
        <w:rPr>
          <w:b/>
          <w:sz w:val="24"/>
          <w:szCs w:val="24"/>
        </w:rPr>
        <w:t>C</w:t>
      </w:r>
      <w:r w:rsidR="009834F5" w:rsidRPr="008F2DD0">
        <w:rPr>
          <w:b/>
          <w:sz w:val="24"/>
          <w:szCs w:val="24"/>
        </w:rPr>
        <w:t>ommentai</w:t>
      </w:r>
      <w:r w:rsidR="00866A27" w:rsidRPr="008F2DD0">
        <w:rPr>
          <w:b/>
          <w:sz w:val="24"/>
          <w:szCs w:val="24"/>
        </w:rPr>
        <w:t>re</w:t>
      </w:r>
      <w:r w:rsidR="009834F5" w:rsidRPr="008F2DD0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</w:t>
      </w:r>
    </w:p>
    <w:p w:rsidR="002557E6" w:rsidRPr="002557E6" w:rsidRDefault="002557E6" w:rsidP="002557E6">
      <w:pPr>
        <w:jc w:val="both"/>
        <w:rPr>
          <w:sz w:val="24"/>
          <w:szCs w:val="24"/>
        </w:rPr>
      </w:pPr>
      <w:r>
        <w:rPr>
          <w:sz w:val="24"/>
          <w:szCs w:val="24"/>
        </w:rPr>
        <w:t>Dans ce type de situation « simple », sans psychopathologie associée, l’évolution est habituellem</w:t>
      </w:r>
      <w:r w:rsidR="00C11410">
        <w:rPr>
          <w:sz w:val="24"/>
          <w:szCs w:val="24"/>
        </w:rPr>
        <w:t>ent favorable spontanément, mais parfois aprè</w:t>
      </w:r>
      <w:r>
        <w:rPr>
          <w:sz w:val="24"/>
          <w:szCs w:val="24"/>
        </w:rPr>
        <w:t>s quelques semaines. La stimulation</w:t>
      </w:r>
      <w:r w:rsidR="00187397">
        <w:rPr>
          <w:sz w:val="24"/>
          <w:szCs w:val="24"/>
        </w:rPr>
        <w:t xml:space="preserve"> magnétique, dans ces situations</w:t>
      </w:r>
      <w:r>
        <w:rPr>
          <w:sz w:val="24"/>
          <w:szCs w:val="24"/>
        </w:rPr>
        <w:t>,</w:t>
      </w:r>
      <w:r w:rsidR="00187397">
        <w:rPr>
          <w:sz w:val="24"/>
          <w:szCs w:val="24"/>
        </w:rPr>
        <w:t xml:space="preserve"> restore</w:t>
      </w:r>
      <w:r w:rsidR="00C11410">
        <w:rPr>
          <w:sz w:val="24"/>
          <w:szCs w:val="24"/>
        </w:rPr>
        <w:t>,</w:t>
      </w:r>
      <w:r>
        <w:rPr>
          <w:sz w:val="24"/>
          <w:szCs w:val="24"/>
        </w:rPr>
        <w:t xml:space="preserve"> p</w:t>
      </w:r>
      <w:r w:rsidR="00187397">
        <w:rPr>
          <w:sz w:val="24"/>
          <w:szCs w:val="24"/>
        </w:rPr>
        <w:t>resque systématiquement</w:t>
      </w:r>
      <w:r w:rsidR="00C11410">
        <w:rPr>
          <w:sz w:val="24"/>
          <w:szCs w:val="24"/>
        </w:rPr>
        <w:t xml:space="preserve"> et immédiatement,</w:t>
      </w:r>
      <w:r>
        <w:rPr>
          <w:sz w:val="24"/>
          <w:szCs w:val="24"/>
        </w:rPr>
        <w:t xml:space="preserve"> une fonction motrice</w:t>
      </w:r>
      <w:r w:rsidR="00C11410">
        <w:rPr>
          <w:sz w:val="24"/>
          <w:szCs w:val="24"/>
        </w:rPr>
        <w:t xml:space="preserve"> normale et évite la prolongation des symptômes et</w:t>
      </w:r>
      <w:r>
        <w:rPr>
          <w:sz w:val="24"/>
          <w:szCs w:val="24"/>
        </w:rPr>
        <w:t xml:space="preserve"> de façon certaine</w:t>
      </w:r>
      <w:r w:rsidR="00187397">
        <w:rPr>
          <w:sz w:val="24"/>
          <w:szCs w:val="24"/>
        </w:rPr>
        <w:t>,</w:t>
      </w:r>
      <w:r>
        <w:rPr>
          <w:sz w:val="24"/>
          <w:szCs w:val="24"/>
        </w:rPr>
        <w:t xml:space="preserve"> un passage à la chronicité. L</w:t>
      </w:r>
      <w:r w:rsidR="00187397">
        <w:rPr>
          <w:sz w:val="24"/>
          <w:szCs w:val="24"/>
        </w:rPr>
        <w:t>a stimulation centrale est souvent</w:t>
      </w:r>
      <w:r>
        <w:rPr>
          <w:sz w:val="24"/>
          <w:szCs w:val="24"/>
        </w:rPr>
        <w:t xml:space="preserve"> suffisante</w:t>
      </w:r>
      <w:r w:rsidR="00CB2F14">
        <w:rPr>
          <w:sz w:val="24"/>
          <w:szCs w:val="24"/>
        </w:rPr>
        <w:t>. Le mécanisme en cause est probablement un phénom</w:t>
      </w:r>
      <w:r w:rsidR="00C11410">
        <w:rPr>
          <w:sz w:val="24"/>
          <w:szCs w:val="24"/>
        </w:rPr>
        <w:t>ène dissociatif de type reflexe : u</w:t>
      </w:r>
      <w:r w:rsidR="00CB2F14">
        <w:rPr>
          <w:sz w:val="24"/>
          <w:szCs w:val="24"/>
        </w:rPr>
        <w:t>n traumatisme physique focalisé sur le corps</w:t>
      </w:r>
      <w:r w:rsidR="00187397">
        <w:rPr>
          <w:sz w:val="24"/>
          <w:szCs w:val="24"/>
        </w:rPr>
        <w:t>, parfois modéré,</w:t>
      </w:r>
      <w:r w:rsidR="00CB2F14">
        <w:rPr>
          <w:sz w:val="24"/>
          <w:szCs w:val="24"/>
        </w:rPr>
        <w:t xml:space="preserve"> va entraîner une perturbation du contrôle central dans le même territoire. Il n’y a probablement pas</w:t>
      </w:r>
      <w:r w:rsidR="00C11410">
        <w:rPr>
          <w:sz w:val="24"/>
          <w:szCs w:val="24"/>
        </w:rPr>
        <w:t>, dans ce cas,</w:t>
      </w:r>
      <w:r w:rsidR="00CB2F14">
        <w:rPr>
          <w:sz w:val="24"/>
          <w:szCs w:val="24"/>
        </w:rPr>
        <w:t xml:space="preserve"> d’implication d’une croyance sur la maladie qui perturb</w:t>
      </w:r>
      <w:r w:rsidR="00187397">
        <w:rPr>
          <w:sz w:val="24"/>
          <w:szCs w:val="24"/>
        </w:rPr>
        <w:t>erait les prédictions sur les influx sensori-moteur</w:t>
      </w:r>
      <w:r w:rsidR="00CB2F14">
        <w:rPr>
          <w:sz w:val="24"/>
          <w:szCs w:val="24"/>
        </w:rPr>
        <w:t xml:space="preserve"> et l’</w:t>
      </w:r>
      <w:proofErr w:type="spellStart"/>
      <w:r w:rsidR="00CB2F14">
        <w:rPr>
          <w:sz w:val="24"/>
          <w:szCs w:val="24"/>
        </w:rPr>
        <w:t>agentivité</w:t>
      </w:r>
      <w:proofErr w:type="spellEnd"/>
      <w:r w:rsidR="00187397">
        <w:rPr>
          <w:sz w:val="24"/>
          <w:szCs w:val="24"/>
        </w:rPr>
        <w:t xml:space="preserve"> (l’idée que nos mouvements nous appartiennent</w:t>
      </w:r>
      <w:r w:rsidR="00C11410">
        <w:rPr>
          <w:sz w:val="24"/>
          <w:szCs w:val="24"/>
        </w:rPr>
        <w:t>)</w:t>
      </w:r>
      <w:r w:rsidR="00187397">
        <w:rPr>
          <w:sz w:val="24"/>
          <w:szCs w:val="24"/>
        </w:rPr>
        <w:t xml:space="preserve">  (Théorie </w:t>
      </w:r>
      <w:r w:rsidR="00C11410">
        <w:rPr>
          <w:sz w:val="24"/>
          <w:szCs w:val="24"/>
        </w:rPr>
        <w:t>la plus répandue actuellement)</w:t>
      </w:r>
      <w:r w:rsidR="00CB2F14">
        <w:rPr>
          <w:sz w:val="24"/>
          <w:szCs w:val="24"/>
        </w:rPr>
        <w:t xml:space="preserve">. </w:t>
      </w:r>
    </w:p>
    <w:p w:rsidR="002557E6" w:rsidRPr="008F2DD0" w:rsidRDefault="002557E6">
      <w:pPr>
        <w:rPr>
          <w:b/>
          <w:sz w:val="24"/>
          <w:szCs w:val="24"/>
        </w:rPr>
      </w:pPr>
    </w:p>
    <w:p w:rsidR="00866A27" w:rsidRDefault="00866A27"/>
    <w:sectPr w:rsidR="00866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A27"/>
    <w:rsid w:val="000B1C38"/>
    <w:rsid w:val="00187397"/>
    <w:rsid w:val="002557E6"/>
    <w:rsid w:val="00341FB2"/>
    <w:rsid w:val="00692E5E"/>
    <w:rsid w:val="006E7BD2"/>
    <w:rsid w:val="00866A27"/>
    <w:rsid w:val="008F2DD0"/>
    <w:rsid w:val="009834F5"/>
    <w:rsid w:val="00BC6FCB"/>
    <w:rsid w:val="00C11410"/>
    <w:rsid w:val="00CB2F14"/>
    <w:rsid w:val="00E9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parain</dc:creator>
  <cp:lastModifiedBy>Paul SINDELL</cp:lastModifiedBy>
  <cp:revision>2</cp:revision>
  <dcterms:created xsi:type="dcterms:W3CDTF">2018-09-12T10:47:00Z</dcterms:created>
  <dcterms:modified xsi:type="dcterms:W3CDTF">2018-09-12T10:47:00Z</dcterms:modified>
</cp:coreProperties>
</file>