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1F" w:rsidRDefault="0017711F">
      <w:pPr>
        <w:rPr>
          <w:b/>
        </w:rPr>
      </w:pPr>
    </w:p>
    <w:p w:rsidR="00692E5E" w:rsidRPr="00635683" w:rsidRDefault="00866BB6">
      <w:pPr>
        <w:rPr>
          <w:b/>
        </w:rPr>
      </w:pPr>
      <w:r>
        <w:rPr>
          <w:b/>
        </w:rPr>
        <w:t>Patient 1 dystonie</w:t>
      </w:r>
    </w:p>
    <w:p w:rsidR="000B0778" w:rsidRDefault="00866A27">
      <w:pPr>
        <w:rPr>
          <w:b/>
        </w:rPr>
      </w:pPr>
      <w:r w:rsidRPr="00635683">
        <w:rPr>
          <w:b/>
        </w:rPr>
        <w:t>Historique</w:t>
      </w:r>
    </w:p>
    <w:p w:rsidR="00866BB6" w:rsidRPr="00866BB6" w:rsidRDefault="00866BB6">
      <w:r>
        <w:t>Patiente de 16 ans qui présentent depuis un an et demi une dystonie du pouce droit. Cette dystonie est apparue dans un premier temps, après avoir joué de façon un peu prolongé au badminton. Il s’agissait d’une dystonie en flexion qui l’empêchait d’écrire. Trois mois avant la consultation, en ouvrant un pot de yaourt, la dystonie de flexion s’est transformée en dystonie d’extension, du moins pour la première phalange du pouce.</w:t>
      </w:r>
    </w:p>
    <w:p w:rsidR="00866A27" w:rsidRDefault="00866A27" w:rsidP="00050B5B">
      <w:pPr>
        <w:jc w:val="both"/>
        <w:rPr>
          <w:b/>
        </w:rPr>
      </w:pPr>
      <w:r w:rsidRPr="00635683">
        <w:rPr>
          <w:b/>
        </w:rPr>
        <w:t>Description clinique</w:t>
      </w:r>
      <w:r w:rsidR="00656A05">
        <w:rPr>
          <w:b/>
        </w:rPr>
        <w:t xml:space="preserve"> </w:t>
      </w:r>
    </w:p>
    <w:p w:rsidR="00866BB6" w:rsidRPr="00866BB6" w:rsidRDefault="00866BB6" w:rsidP="00050B5B">
      <w:pPr>
        <w:jc w:val="both"/>
      </w:pPr>
      <w:r>
        <w:t xml:space="preserve">Lors de cette consultation, elle présente donc une dystonie très particulière du pouce (video1). Il n’y a pas de douleurs mais on constate une hypoesthésie importante des deux premiers doigts des deux mains et de l’espace </w:t>
      </w:r>
      <w:r w:rsidR="00C71066">
        <w:t xml:space="preserve">dorsale </w:t>
      </w:r>
      <w:r>
        <w:t>entre les deux premiers métacarpiens.</w:t>
      </w:r>
    </w:p>
    <w:p w:rsidR="00866A27" w:rsidRDefault="00866A27" w:rsidP="00050B5B">
      <w:pPr>
        <w:jc w:val="both"/>
        <w:rPr>
          <w:b/>
        </w:rPr>
      </w:pPr>
      <w:r w:rsidRPr="00635683">
        <w:rPr>
          <w:b/>
        </w:rPr>
        <w:t>Stimulation magnétique</w:t>
      </w:r>
      <w:r w:rsidR="009834F5" w:rsidRPr="00635683">
        <w:rPr>
          <w:b/>
        </w:rPr>
        <w:t xml:space="preserve"> et é</w:t>
      </w:r>
      <w:r w:rsidRPr="00635683">
        <w:rPr>
          <w:b/>
        </w:rPr>
        <w:t>volution</w:t>
      </w:r>
    </w:p>
    <w:p w:rsidR="00BA0995" w:rsidRPr="00BA0995" w:rsidRDefault="00333BAF" w:rsidP="00050B5B">
      <w:pPr>
        <w:jc w:val="both"/>
      </w:pPr>
      <w:r>
        <w:t>L</w:t>
      </w:r>
      <w:r w:rsidR="00BA0995">
        <w:t>a première séance de stimulation va comporter u</w:t>
      </w:r>
      <w:r>
        <w:t>ne stimulation magnétique trans</w:t>
      </w:r>
      <w:r w:rsidR="00BA0995">
        <w:t>crânienne c</w:t>
      </w:r>
      <w:r>
        <w:t>entrale large champ classique e</w:t>
      </w:r>
      <w:r w:rsidR="00BA0995">
        <w:t>t une stimulation à très haute intensité</w:t>
      </w:r>
      <w:r w:rsidR="00F53B09">
        <w:t xml:space="preserve"> (en mode power)</w:t>
      </w:r>
      <w:bookmarkStart w:id="0" w:name="_GoBack"/>
      <w:bookmarkEnd w:id="0"/>
      <w:r w:rsidR="00BA0995">
        <w:t xml:space="preserve"> et à fréquence plus élevée (8 Hz) au niveau de la zone anesthésiée de la main du côté droit. Il n’y aura pas d’amélioration immédiate. Au bout du troisième jour la dystonie du pouce droit va disparaître (vidéo 2). L’anesthésie va persister. Je la revois tous les trois mois pour essayer de faire réapparaître une sensibilité sur les zones anesthésiées des deux mains, mais pour le moment sans succès.</w:t>
      </w:r>
    </w:p>
    <w:p w:rsidR="00AA4612" w:rsidRDefault="00E0363C">
      <w:pPr>
        <w:rPr>
          <w:b/>
        </w:rPr>
      </w:pPr>
      <w:r w:rsidRPr="00635683">
        <w:rPr>
          <w:b/>
        </w:rPr>
        <w:t>C</w:t>
      </w:r>
      <w:r w:rsidR="009834F5" w:rsidRPr="00635683">
        <w:rPr>
          <w:b/>
        </w:rPr>
        <w:t>ommentai</w:t>
      </w:r>
      <w:r w:rsidR="00866A27" w:rsidRPr="00635683">
        <w:rPr>
          <w:b/>
        </w:rPr>
        <w:t>re</w:t>
      </w:r>
      <w:r w:rsidR="009834F5" w:rsidRPr="00635683">
        <w:rPr>
          <w:b/>
        </w:rPr>
        <w:t>s</w:t>
      </w:r>
    </w:p>
    <w:p w:rsidR="00333BAF" w:rsidRPr="00F53B09" w:rsidRDefault="00F53B09" w:rsidP="00F53B09">
      <w:pPr>
        <w:jc w:val="both"/>
      </w:pPr>
      <w:r>
        <w:t>Cette patiente présente</w:t>
      </w:r>
      <w:r w:rsidRPr="00F53B09">
        <w:t xml:space="preserve"> deux ordres de symptômes</w:t>
      </w:r>
      <w:r>
        <w:t>, d’une part une anesthésie des deux premiers doigts des mains et du premier espace inter métacarpien de façon bilatérale et d’autre part une dystonie du pouce droit qui est survenu après un facteur déclenchant relativement minime. On constate une fois de plus la fragilité de ces troubles de connectivité à l’origine des symptômes neurologiques fonctionnels. Il est probable que l’anesthésie était antérieure à la dystonie. Ce type d’anesthésie peut faire le lit de troubles fonctionnels neurologiques à type de douleurs, de dystonie ou autre. Même si la dystonie a disparue, il faut essayer de faire disparaître l’anesthésie pour éviter la rechute en stimulant à haute intensité et à fréquence ces régions. On ne connaît ni la date d’apparition, ni le facteur déclenchant de cette anesthésie. Il faut rappeler qu’il est toujours nécessaire de rechercher ce type d’anesthésie ou d’hypoesthésie dans les troubles fonctionnels neurologiques car elle peut être ignorée du patient et peut nécessiter un traitement spécifique par stimulation.</w:t>
      </w:r>
    </w:p>
    <w:p w:rsidR="00E0363C" w:rsidRDefault="00E0363C" w:rsidP="00F53B09">
      <w:pPr>
        <w:jc w:val="both"/>
        <w:rPr>
          <w:b/>
        </w:rPr>
      </w:pPr>
    </w:p>
    <w:p w:rsidR="008F0E65" w:rsidRPr="00635683" w:rsidRDefault="008F0E65" w:rsidP="001F5373">
      <w:pPr>
        <w:jc w:val="both"/>
        <w:rPr>
          <w:b/>
        </w:rPr>
      </w:pPr>
    </w:p>
    <w:p w:rsidR="00866A27" w:rsidRPr="00635683" w:rsidRDefault="00866A27" w:rsidP="001F5373">
      <w:pPr>
        <w:jc w:val="both"/>
        <w:rPr>
          <w:b/>
        </w:rPr>
      </w:pPr>
    </w:p>
    <w:sectPr w:rsidR="00866A27" w:rsidRPr="00635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27"/>
    <w:rsid w:val="00050B5B"/>
    <w:rsid w:val="000B0778"/>
    <w:rsid w:val="000B1C38"/>
    <w:rsid w:val="00132B75"/>
    <w:rsid w:val="0017711F"/>
    <w:rsid w:val="001F5373"/>
    <w:rsid w:val="00333BAF"/>
    <w:rsid w:val="00341FB2"/>
    <w:rsid w:val="003A5023"/>
    <w:rsid w:val="003D2DD6"/>
    <w:rsid w:val="004450A7"/>
    <w:rsid w:val="00635683"/>
    <w:rsid w:val="00656A05"/>
    <w:rsid w:val="00692E5E"/>
    <w:rsid w:val="00755298"/>
    <w:rsid w:val="00852AA5"/>
    <w:rsid w:val="00866A27"/>
    <w:rsid w:val="00866BB6"/>
    <w:rsid w:val="008F0E65"/>
    <w:rsid w:val="00980FD8"/>
    <w:rsid w:val="009834F5"/>
    <w:rsid w:val="009E399B"/>
    <w:rsid w:val="00A867A1"/>
    <w:rsid w:val="00AA4612"/>
    <w:rsid w:val="00BA0995"/>
    <w:rsid w:val="00BC6FCB"/>
    <w:rsid w:val="00C2152B"/>
    <w:rsid w:val="00C227C9"/>
    <w:rsid w:val="00C71066"/>
    <w:rsid w:val="00D06D10"/>
    <w:rsid w:val="00D175B1"/>
    <w:rsid w:val="00DB6CFC"/>
    <w:rsid w:val="00E0363C"/>
    <w:rsid w:val="00E57832"/>
    <w:rsid w:val="00E95A30"/>
    <w:rsid w:val="00F031BE"/>
    <w:rsid w:val="00F53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94534-505A-46B3-9038-38A72DBB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379</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parain</dc:creator>
  <cp:keywords/>
  <dc:description/>
  <cp:lastModifiedBy>DR PARAIN</cp:lastModifiedBy>
  <cp:revision>27</cp:revision>
  <dcterms:created xsi:type="dcterms:W3CDTF">2018-09-10T08:02:00Z</dcterms:created>
  <dcterms:modified xsi:type="dcterms:W3CDTF">2018-10-23T13:53:00Z</dcterms:modified>
</cp:coreProperties>
</file>